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0A8" w:rsidRDefault="003B40A8" w:rsidP="003B40A8">
      <w:pPr>
        <w:rPr>
          <w:rFonts w:ascii="Sylfaen" w:hAnsi="Sylfaen"/>
          <w:sz w:val="24"/>
          <w:szCs w:val="24"/>
        </w:rPr>
      </w:pPr>
    </w:p>
    <w:p w:rsidR="00C72BD3" w:rsidRPr="00C72BD3" w:rsidRDefault="00C72BD3" w:rsidP="00C72BD3">
      <w:pPr>
        <w:jc w:val="center"/>
        <w:rPr>
          <w:rFonts w:ascii="Sylfaen" w:hAnsi="Sylfaen"/>
          <w:b/>
          <w:sz w:val="56"/>
          <w:szCs w:val="56"/>
        </w:rPr>
      </w:pPr>
      <w:r w:rsidRPr="00C72BD3">
        <w:rPr>
          <w:rFonts w:ascii="Sylfaen" w:hAnsi="Sylfaen"/>
          <w:b/>
          <w:sz w:val="56"/>
          <w:szCs w:val="56"/>
        </w:rPr>
        <w:t>VAID ICS LAW</w:t>
      </w:r>
    </w:p>
    <w:p w:rsidR="00C72BD3" w:rsidRPr="00C72BD3" w:rsidRDefault="00C72BD3" w:rsidP="00C72BD3">
      <w:pPr>
        <w:shd w:val="clear" w:color="auto" w:fill="403152" w:themeFill="accent4" w:themeFillShade="80"/>
        <w:jc w:val="center"/>
        <w:rPr>
          <w:rFonts w:ascii="Sylfaen" w:hAnsi="Sylfaen"/>
          <w:b/>
          <w:sz w:val="44"/>
          <w:szCs w:val="44"/>
        </w:rPr>
      </w:pPr>
      <w:r w:rsidRPr="00C72BD3">
        <w:rPr>
          <w:rFonts w:ascii="Sylfaen" w:hAnsi="Sylfaen"/>
          <w:b/>
          <w:sz w:val="40"/>
          <w:szCs w:val="40"/>
        </w:rPr>
        <w:t xml:space="preserve">DAILY </w:t>
      </w:r>
      <w:r w:rsidRPr="00C72BD3">
        <w:rPr>
          <w:rFonts w:ascii="Sylfaen" w:hAnsi="Sylfaen"/>
          <w:b/>
          <w:sz w:val="44"/>
          <w:szCs w:val="44"/>
        </w:rPr>
        <w:t>ANSWER WRITING PROGRAMME</w:t>
      </w:r>
    </w:p>
    <w:p w:rsidR="00C72BD3" w:rsidRPr="00C72BD3" w:rsidRDefault="00C72BD3" w:rsidP="00C72BD3">
      <w:pPr>
        <w:shd w:val="clear" w:color="auto" w:fill="548DD4" w:themeFill="text2" w:themeFillTint="99"/>
        <w:jc w:val="center"/>
        <w:rPr>
          <w:rFonts w:ascii="Sylfaen" w:hAnsi="Sylfaen"/>
          <w:b/>
          <w:sz w:val="44"/>
          <w:szCs w:val="44"/>
        </w:rPr>
      </w:pPr>
      <w:r w:rsidRPr="00C72BD3">
        <w:rPr>
          <w:rFonts w:ascii="Sylfaen" w:hAnsi="Sylfaen"/>
          <w:b/>
          <w:sz w:val="44"/>
          <w:szCs w:val="44"/>
        </w:rPr>
        <w:t>Model Answer</w:t>
      </w:r>
    </w:p>
    <w:p w:rsidR="00C72BD3" w:rsidRPr="00C72BD3" w:rsidRDefault="00C72BD3" w:rsidP="00C72BD3">
      <w:pPr>
        <w:shd w:val="clear" w:color="auto" w:fill="548DD4" w:themeFill="text2" w:themeFillTint="99"/>
        <w:jc w:val="center"/>
        <w:rPr>
          <w:rFonts w:ascii="Sylfaen" w:hAnsi="Sylfaen"/>
          <w:b/>
          <w:sz w:val="40"/>
          <w:szCs w:val="40"/>
        </w:rPr>
      </w:pPr>
      <w:r w:rsidRPr="00C72BD3">
        <w:rPr>
          <w:rFonts w:ascii="Sylfaen" w:hAnsi="Sylfaen"/>
          <w:b/>
          <w:sz w:val="40"/>
          <w:szCs w:val="40"/>
        </w:rPr>
        <w:t>UPCS-J/APO/Other Judicial exams</w:t>
      </w:r>
    </w:p>
    <w:p w:rsidR="003B40A8" w:rsidRPr="003B40A8" w:rsidRDefault="003B40A8" w:rsidP="00C72BD3">
      <w:pPr>
        <w:jc w:val="center"/>
        <w:rPr>
          <w:rFonts w:ascii="Sylfaen" w:hAnsi="Sylfaen"/>
          <w:sz w:val="24"/>
          <w:szCs w:val="24"/>
        </w:rPr>
      </w:pPr>
    </w:p>
    <w:p w:rsidR="00C72BD3" w:rsidRDefault="003B40A8" w:rsidP="00C72BD3">
      <w:pPr>
        <w:jc w:val="both"/>
        <w:rPr>
          <w:rFonts w:ascii="Sylfaen" w:hAnsi="Sylfaen"/>
          <w:sz w:val="24"/>
          <w:szCs w:val="24"/>
        </w:rPr>
      </w:pPr>
      <w:r>
        <w:rPr>
          <w:rFonts w:ascii="Sylfaen" w:hAnsi="Sylfaen"/>
          <w:sz w:val="24"/>
          <w:szCs w:val="24"/>
        </w:rPr>
        <w:t xml:space="preserve"> </w:t>
      </w:r>
    </w:p>
    <w:p w:rsidR="00C72BD3" w:rsidRPr="00A74055" w:rsidRDefault="003B40A8" w:rsidP="00C72BD3">
      <w:pPr>
        <w:jc w:val="both"/>
        <w:rPr>
          <w:rFonts w:ascii="Sylfaen" w:hAnsi="Sylfaen"/>
          <w:sz w:val="26"/>
          <w:szCs w:val="26"/>
        </w:rPr>
      </w:pPr>
      <w:r w:rsidRPr="00302AFF">
        <w:rPr>
          <w:rFonts w:ascii="Sylfaen" w:hAnsi="Sylfaen"/>
          <w:b/>
          <w:sz w:val="32"/>
          <w:szCs w:val="32"/>
        </w:rPr>
        <w:t>Qn .</w:t>
      </w:r>
      <w:r w:rsidR="00C72BD3" w:rsidRPr="00C72BD3">
        <w:rPr>
          <w:rFonts w:ascii="Sylfaen" w:hAnsi="Sylfaen"/>
          <w:sz w:val="26"/>
          <w:szCs w:val="26"/>
        </w:rPr>
        <w:t xml:space="preserve"> </w:t>
      </w:r>
      <w:r w:rsidR="00C72BD3" w:rsidRPr="00C72BD3">
        <w:rPr>
          <w:rFonts w:ascii="Sylfaen" w:hAnsi="Sylfaen"/>
          <w:b/>
          <w:sz w:val="32"/>
          <w:szCs w:val="32"/>
        </w:rPr>
        <w:t>Explain the law relating to constructive criminality and bring out the distinction between "common intention" and "common object</w:t>
      </w:r>
      <w:r w:rsidR="00C72BD3" w:rsidRPr="00A74055">
        <w:rPr>
          <w:rFonts w:ascii="Sylfaen" w:hAnsi="Sylfaen"/>
          <w:sz w:val="26"/>
          <w:szCs w:val="26"/>
        </w:rPr>
        <w:t xml:space="preserve">". </w:t>
      </w:r>
    </w:p>
    <w:p w:rsidR="00302AFF" w:rsidRPr="00302AFF" w:rsidRDefault="00302AFF" w:rsidP="003B40A8">
      <w:pPr>
        <w:rPr>
          <w:rFonts w:ascii="Sylfaen" w:hAnsi="Sylfaen"/>
          <w:b/>
          <w:sz w:val="32"/>
          <w:szCs w:val="32"/>
        </w:rPr>
      </w:pPr>
      <w:r w:rsidRPr="00302AFF">
        <w:rPr>
          <w:rFonts w:ascii="Sylfaen" w:hAnsi="Sylfaen"/>
          <w:b/>
          <w:sz w:val="32"/>
          <w:szCs w:val="32"/>
        </w:rPr>
        <w:t>Model  Answer</w:t>
      </w:r>
      <w:r>
        <w:rPr>
          <w:rFonts w:ascii="Sylfaen" w:hAnsi="Sylfaen"/>
          <w:b/>
          <w:sz w:val="32"/>
          <w:szCs w:val="32"/>
        </w:rPr>
        <w:t>:</w:t>
      </w:r>
    </w:p>
    <w:p w:rsidR="00C72BD3" w:rsidRPr="00A74055" w:rsidRDefault="00C72BD3" w:rsidP="00C72BD3">
      <w:pPr>
        <w:jc w:val="both"/>
        <w:rPr>
          <w:rFonts w:ascii="Sylfaen" w:hAnsi="Sylfaen"/>
          <w:sz w:val="26"/>
          <w:szCs w:val="26"/>
        </w:rPr>
      </w:pPr>
      <w:r w:rsidRPr="00A74055">
        <w:rPr>
          <w:rFonts w:ascii="Sylfaen" w:hAnsi="Sylfaen"/>
          <w:sz w:val="26"/>
          <w:szCs w:val="26"/>
        </w:rPr>
        <w:t xml:space="preserve">Constructive criminality refers to the legal principle where individuals who are part of a group or association can be held criminally liable for the actions of the group, even if they did not directly commit the offense themselves. This principle is often applied in cases of group criminal activity, </w:t>
      </w:r>
      <w:r w:rsidRPr="00A74055">
        <w:rPr>
          <w:rFonts w:ascii="Sylfaen" w:hAnsi="Sylfaen"/>
          <w:b/>
          <w:sz w:val="26"/>
          <w:szCs w:val="26"/>
        </w:rPr>
        <w:t>such as riots, mob violence, or conspiracy.</w:t>
      </w:r>
    </w:p>
    <w:p w:rsidR="00C72BD3" w:rsidRDefault="00C72BD3" w:rsidP="00C72BD3">
      <w:pPr>
        <w:jc w:val="both"/>
        <w:rPr>
          <w:rFonts w:ascii="Sylfaen" w:hAnsi="Sylfaen"/>
          <w:sz w:val="26"/>
          <w:szCs w:val="26"/>
        </w:rPr>
      </w:pPr>
      <w:r w:rsidRPr="00A74055">
        <w:rPr>
          <w:rFonts w:ascii="Sylfaen" w:hAnsi="Sylfaen"/>
          <w:sz w:val="26"/>
          <w:szCs w:val="26"/>
        </w:rPr>
        <w:t xml:space="preserve">The two main legal doctrines that apply to constructive criminality are "common intention" and "common object." </w:t>
      </w:r>
    </w:p>
    <w:p w:rsidR="00442EA6" w:rsidRPr="00442EA6" w:rsidRDefault="00442EA6" w:rsidP="00C72BD3">
      <w:pPr>
        <w:jc w:val="both"/>
        <w:rPr>
          <w:rFonts w:ascii="Sylfaen" w:hAnsi="Sylfaen"/>
          <w:b/>
          <w:sz w:val="26"/>
          <w:szCs w:val="26"/>
        </w:rPr>
      </w:pPr>
      <w:r>
        <w:rPr>
          <w:rFonts w:ascii="Sylfaen" w:hAnsi="Sylfaen"/>
          <w:sz w:val="26"/>
          <w:szCs w:val="26"/>
        </w:rPr>
        <w:t xml:space="preserve"> </w:t>
      </w:r>
      <w:r w:rsidRPr="00442EA6">
        <w:rPr>
          <w:rFonts w:ascii="Sylfaen" w:hAnsi="Sylfaen"/>
          <w:b/>
          <w:sz w:val="26"/>
          <w:szCs w:val="26"/>
        </w:rPr>
        <w:t>Related case laws:</w:t>
      </w:r>
    </w:p>
    <w:p w:rsidR="00442EA6" w:rsidRPr="00442EA6" w:rsidRDefault="00442EA6" w:rsidP="00442EA6">
      <w:pPr>
        <w:pStyle w:val="ListParagraph"/>
        <w:numPr>
          <w:ilvl w:val="0"/>
          <w:numId w:val="49"/>
        </w:numPr>
        <w:jc w:val="both"/>
        <w:rPr>
          <w:rFonts w:ascii="Sylfaen" w:hAnsi="Sylfaen"/>
          <w:sz w:val="26"/>
          <w:szCs w:val="26"/>
        </w:rPr>
      </w:pPr>
      <w:r w:rsidRPr="00442EA6">
        <w:rPr>
          <w:rFonts w:ascii="Sylfaen" w:hAnsi="Sylfaen"/>
          <w:sz w:val="26"/>
          <w:szCs w:val="26"/>
        </w:rPr>
        <w:t>Chandra Pratap  Singh Vs State of MP ( 2023</w:t>
      </w:r>
      <w:r>
        <w:rPr>
          <w:rFonts w:ascii="Sylfaen" w:hAnsi="Sylfaen"/>
          <w:sz w:val="26"/>
          <w:szCs w:val="26"/>
        </w:rPr>
        <w:t>)</w:t>
      </w:r>
    </w:p>
    <w:p w:rsidR="00442EA6" w:rsidRPr="00442EA6" w:rsidRDefault="00442EA6" w:rsidP="00442EA6">
      <w:pPr>
        <w:pStyle w:val="ListParagraph"/>
        <w:numPr>
          <w:ilvl w:val="0"/>
          <w:numId w:val="49"/>
        </w:numPr>
        <w:jc w:val="both"/>
        <w:rPr>
          <w:rFonts w:ascii="Sylfaen" w:hAnsi="Sylfaen"/>
          <w:sz w:val="26"/>
          <w:szCs w:val="26"/>
        </w:rPr>
      </w:pPr>
      <w:r>
        <w:rPr>
          <w:rFonts w:ascii="Sylfaen" w:hAnsi="Sylfaen"/>
          <w:sz w:val="26"/>
          <w:szCs w:val="26"/>
        </w:rPr>
        <w:t>Nanak Chand</w:t>
      </w:r>
      <w:r w:rsidRPr="00442EA6">
        <w:rPr>
          <w:rFonts w:ascii="Sylfaen" w:hAnsi="Sylfaen"/>
          <w:sz w:val="26"/>
          <w:szCs w:val="26"/>
        </w:rPr>
        <w:t>a  vs   State of Punjab</w:t>
      </w:r>
    </w:p>
    <w:p w:rsidR="00442EA6" w:rsidRDefault="00442EA6" w:rsidP="00C72BD3">
      <w:pPr>
        <w:jc w:val="both"/>
        <w:rPr>
          <w:rFonts w:ascii="Sylfaen" w:hAnsi="Sylfaen"/>
          <w:sz w:val="26"/>
          <w:szCs w:val="26"/>
        </w:rPr>
      </w:pPr>
    </w:p>
    <w:p w:rsidR="00C72BD3" w:rsidRPr="00636BA1" w:rsidRDefault="00C72BD3" w:rsidP="00C72BD3">
      <w:pPr>
        <w:jc w:val="both"/>
        <w:rPr>
          <w:rFonts w:ascii="Sylfaen" w:hAnsi="Sylfaen"/>
          <w:b/>
          <w:sz w:val="26"/>
          <w:szCs w:val="26"/>
        </w:rPr>
      </w:pPr>
      <w:r w:rsidRPr="00636BA1">
        <w:rPr>
          <w:rFonts w:ascii="Sylfaen" w:hAnsi="Sylfaen"/>
          <w:b/>
          <w:sz w:val="26"/>
          <w:szCs w:val="26"/>
        </w:rPr>
        <w:t>Common Intention:</w:t>
      </w:r>
    </w:p>
    <w:p w:rsidR="00C72BD3" w:rsidRPr="00A74055" w:rsidRDefault="00C72BD3" w:rsidP="00C72BD3">
      <w:pPr>
        <w:jc w:val="both"/>
        <w:rPr>
          <w:rFonts w:ascii="Sylfaen" w:hAnsi="Sylfaen"/>
          <w:sz w:val="26"/>
          <w:szCs w:val="26"/>
        </w:rPr>
      </w:pPr>
      <w:r w:rsidRPr="00A74055">
        <w:rPr>
          <w:rFonts w:ascii="Sylfaen" w:hAnsi="Sylfaen"/>
          <w:sz w:val="26"/>
          <w:szCs w:val="26"/>
        </w:rPr>
        <w:lastRenderedPageBreak/>
        <w:t>Common intention refers to the shared purpose or plan among a group of individuals to commit a criminal act. Each member of the group is held responsible for the offense if it was committed in furtherance of the common intention, regardless of whether they personally carried out the act.</w:t>
      </w:r>
    </w:p>
    <w:p w:rsidR="00C72BD3" w:rsidRPr="00A74055" w:rsidRDefault="00C72BD3" w:rsidP="00C72BD3">
      <w:pPr>
        <w:jc w:val="both"/>
        <w:rPr>
          <w:rFonts w:ascii="Sylfaen" w:hAnsi="Sylfaen"/>
          <w:sz w:val="26"/>
          <w:szCs w:val="26"/>
        </w:rPr>
      </w:pPr>
      <w:r w:rsidRPr="00A74055">
        <w:rPr>
          <w:rFonts w:ascii="Sylfaen" w:hAnsi="Sylfaen"/>
          <w:sz w:val="26"/>
          <w:szCs w:val="26"/>
        </w:rPr>
        <w:t xml:space="preserve">This principle is enshrined in </w:t>
      </w:r>
      <w:r w:rsidRPr="00636BA1">
        <w:rPr>
          <w:rFonts w:ascii="Sylfaen" w:hAnsi="Sylfaen"/>
          <w:b/>
          <w:sz w:val="26"/>
          <w:szCs w:val="26"/>
        </w:rPr>
        <w:t>Section 34 of the Indian Penal Code (IPC</w:t>
      </w:r>
      <w:r w:rsidRPr="00A74055">
        <w:rPr>
          <w:rFonts w:ascii="Sylfaen" w:hAnsi="Sylfaen"/>
          <w:sz w:val="26"/>
          <w:szCs w:val="26"/>
        </w:rPr>
        <w:t>), which states that when a criminal act is done by several persons in furtherance of a common intention of all, each of such persons is liable for that act as if it were done by them individually.</w:t>
      </w:r>
    </w:p>
    <w:p w:rsidR="00C72BD3" w:rsidRPr="00A74055" w:rsidRDefault="00C72BD3" w:rsidP="00C72BD3">
      <w:pPr>
        <w:jc w:val="both"/>
        <w:rPr>
          <w:rFonts w:ascii="Sylfaen" w:hAnsi="Sylfaen"/>
          <w:sz w:val="26"/>
          <w:szCs w:val="26"/>
        </w:rPr>
      </w:pPr>
      <w:r w:rsidRPr="00A74055">
        <w:rPr>
          <w:rFonts w:ascii="Sylfaen" w:hAnsi="Sylfaen"/>
          <w:sz w:val="26"/>
          <w:szCs w:val="26"/>
        </w:rPr>
        <w:t xml:space="preserve">Example: In the case of </w:t>
      </w:r>
      <w:r w:rsidRPr="00636BA1">
        <w:rPr>
          <w:rFonts w:ascii="Sylfaen" w:hAnsi="Sylfaen"/>
          <w:b/>
          <w:sz w:val="26"/>
          <w:szCs w:val="26"/>
        </w:rPr>
        <w:t>Barendra Kumar Ghosh vs. King Emperor (1925</w:t>
      </w:r>
      <w:r w:rsidRPr="00A74055">
        <w:rPr>
          <w:rFonts w:ascii="Sylfaen" w:hAnsi="Sylfaen"/>
          <w:sz w:val="26"/>
          <w:szCs w:val="26"/>
        </w:rPr>
        <w:t>), the accused were charged with murder. They formed a group to carry out the murder, and even though not all of them directly participated in the killing, they were held liable because of their common intention to commit the crime.</w:t>
      </w:r>
    </w:p>
    <w:p w:rsidR="00C72BD3" w:rsidRPr="00636BA1" w:rsidRDefault="00C72BD3" w:rsidP="00C72BD3">
      <w:pPr>
        <w:jc w:val="both"/>
        <w:rPr>
          <w:rFonts w:ascii="Sylfaen" w:hAnsi="Sylfaen"/>
          <w:b/>
          <w:sz w:val="26"/>
          <w:szCs w:val="26"/>
        </w:rPr>
      </w:pPr>
      <w:r w:rsidRPr="00636BA1">
        <w:rPr>
          <w:rFonts w:ascii="Sylfaen" w:hAnsi="Sylfaen"/>
          <w:b/>
          <w:sz w:val="26"/>
          <w:szCs w:val="26"/>
        </w:rPr>
        <w:t>Common Object:</w:t>
      </w:r>
    </w:p>
    <w:p w:rsidR="00C72BD3" w:rsidRPr="00A74055" w:rsidRDefault="00C72BD3" w:rsidP="00C72BD3">
      <w:pPr>
        <w:jc w:val="both"/>
        <w:rPr>
          <w:rFonts w:ascii="Sylfaen" w:hAnsi="Sylfaen"/>
          <w:sz w:val="26"/>
          <w:szCs w:val="26"/>
        </w:rPr>
      </w:pPr>
      <w:r w:rsidRPr="00A74055">
        <w:rPr>
          <w:rFonts w:ascii="Sylfaen" w:hAnsi="Sylfaen"/>
          <w:sz w:val="26"/>
          <w:szCs w:val="26"/>
        </w:rPr>
        <w:t>Common object refers to the shared objective or goal of a group of individuals, even if there is no pre-arranged plan or agreement on how to achieve that objective. Under this principle, if a member of the group commits an offense in furtherance of the common object, all members of the group can be held liable.</w:t>
      </w:r>
    </w:p>
    <w:p w:rsidR="00C72BD3" w:rsidRPr="00A74055" w:rsidRDefault="00C72BD3" w:rsidP="00C72BD3">
      <w:pPr>
        <w:jc w:val="both"/>
        <w:rPr>
          <w:rFonts w:ascii="Sylfaen" w:hAnsi="Sylfaen"/>
          <w:sz w:val="26"/>
          <w:szCs w:val="26"/>
        </w:rPr>
      </w:pPr>
      <w:r w:rsidRPr="00A74055">
        <w:rPr>
          <w:rFonts w:ascii="Sylfaen" w:hAnsi="Sylfaen"/>
          <w:sz w:val="26"/>
          <w:szCs w:val="26"/>
        </w:rPr>
        <w:t xml:space="preserve">This principle is covered under </w:t>
      </w:r>
      <w:r w:rsidRPr="00636BA1">
        <w:rPr>
          <w:rFonts w:ascii="Sylfaen" w:hAnsi="Sylfaen"/>
          <w:b/>
          <w:sz w:val="26"/>
          <w:szCs w:val="26"/>
        </w:rPr>
        <w:t>Section 149 of the Indian Penal Code</w:t>
      </w:r>
      <w:r w:rsidRPr="00A74055">
        <w:rPr>
          <w:rFonts w:ascii="Sylfaen" w:hAnsi="Sylfaen"/>
          <w:sz w:val="26"/>
          <w:szCs w:val="26"/>
        </w:rPr>
        <w:t>, which states that if an offense is committed by any member of an unlawful assembly in prosecution of the common object of that assembly, or such as the members of that assembly knew to be likely to be committed in prosecution of that object, every person who, at the time of the committing of that offense, is a member of the same assembly, is guilty of that offense.</w:t>
      </w:r>
    </w:p>
    <w:p w:rsidR="00C72BD3" w:rsidRDefault="00C72BD3" w:rsidP="00C72BD3">
      <w:pPr>
        <w:jc w:val="both"/>
        <w:rPr>
          <w:rFonts w:ascii="Sylfaen" w:hAnsi="Sylfaen"/>
          <w:sz w:val="26"/>
          <w:szCs w:val="26"/>
        </w:rPr>
      </w:pPr>
      <w:r w:rsidRPr="00A74055">
        <w:rPr>
          <w:rFonts w:ascii="Sylfaen" w:hAnsi="Sylfaen"/>
          <w:sz w:val="26"/>
          <w:szCs w:val="26"/>
        </w:rPr>
        <w:t xml:space="preserve">Example: In the case of </w:t>
      </w:r>
      <w:r w:rsidRPr="00636BA1">
        <w:rPr>
          <w:rFonts w:ascii="Sylfaen" w:hAnsi="Sylfaen"/>
          <w:b/>
          <w:sz w:val="26"/>
          <w:szCs w:val="26"/>
        </w:rPr>
        <w:t>State of U.P. v. Dan Singh (1964</w:t>
      </w:r>
      <w:r w:rsidRPr="00A74055">
        <w:rPr>
          <w:rFonts w:ascii="Sylfaen" w:hAnsi="Sylfaen"/>
          <w:sz w:val="26"/>
          <w:szCs w:val="26"/>
        </w:rPr>
        <w:t>), the accused were part of an unlawful assembly that attacked a police station, resulting in the death of a police constable. Even though not all members directly participated in the killing, they were held liable because their common object was to attack the police station, and the murder was committed in furtherance of that object.</w:t>
      </w:r>
    </w:p>
    <w:p w:rsidR="00C72BD3" w:rsidRDefault="00C72BD3" w:rsidP="00C72BD3">
      <w:pPr>
        <w:jc w:val="both"/>
        <w:rPr>
          <w:rFonts w:ascii="Sylfaen" w:hAnsi="Sylfaen"/>
          <w:b/>
          <w:sz w:val="26"/>
          <w:szCs w:val="26"/>
        </w:rPr>
      </w:pPr>
    </w:p>
    <w:p w:rsidR="00C72BD3" w:rsidRDefault="00C72BD3" w:rsidP="00C72BD3">
      <w:pPr>
        <w:jc w:val="both"/>
        <w:rPr>
          <w:rFonts w:ascii="Sylfaen" w:hAnsi="Sylfaen"/>
          <w:b/>
          <w:sz w:val="26"/>
          <w:szCs w:val="26"/>
        </w:rPr>
      </w:pPr>
    </w:p>
    <w:p w:rsidR="00C72BD3" w:rsidRDefault="00C72BD3" w:rsidP="00C72BD3">
      <w:pPr>
        <w:jc w:val="both"/>
        <w:rPr>
          <w:rFonts w:ascii="Sylfaen" w:hAnsi="Sylfaen"/>
          <w:b/>
          <w:sz w:val="26"/>
          <w:szCs w:val="26"/>
        </w:rPr>
      </w:pPr>
    </w:p>
    <w:p w:rsidR="00C72BD3" w:rsidRDefault="00C72BD3"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6E45E0" w:rsidRDefault="006E45E0" w:rsidP="00C72BD3">
      <w:pPr>
        <w:jc w:val="both"/>
        <w:rPr>
          <w:rFonts w:ascii="Sylfaen" w:hAnsi="Sylfaen"/>
          <w:b/>
          <w:sz w:val="26"/>
          <w:szCs w:val="26"/>
        </w:rPr>
      </w:pPr>
    </w:p>
    <w:p w:rsidR="00C72BD3" w:rsidRPr="00C72BD3" w:rsidRDefault="00C72BD3" w:rsidP="00C72BD3">
      <w:pPr>
        <w:jc w:val="both"/>
        <w:rPr>
          <w:rFonts w:ascii="Sylfaen" w:hAnsi="Sylfaen"/>
          <w:b/>
          <w:sz w:val="26"/>
          <w:szCs w:val="26"/>
        </w:rPr>
      </w:pPr>
      <w:r w:rsidRPr="00C72BD3">
        <w:rPr>
          <w:rFonts w:ascii="Sylfaen" w:hAnsi="Sylfaen"/>
          <w:b/>
          <w:sz w:val="26"/>
          <w:szCs w:val="26"/>
        </w:rPr>
        <w:t>Conclusion :</w:t>
      </w:r>
    </w:p>
    <w:p w:rsidR="00C72BD3" w:rsidRPr="006E45E0" w:rsidRDefault="00C72BD3" w:rsidP="00C72BD3">
      <w:pPr>
        <w:jc w:val="both"/>
        <w:rPr>
          <w:rFonts w:ascii="Sylfaen" w:hAnsi="Sylfaen"/>
          <w:sz w:val="26"/>
          <w:szCs w:val="26"/>
        </w:rPr>
      </w:pPr>
      <w:r w:rsidRPr="00A74055">
        <w:rPr>
          <w:rFonts w:ascii="Sylfaen" w:hAnsi="Sylfaen"/>
          <w:sz w:val="26"/>
          <w:szCs w:val="26"/>
        </w:rPr>
        <w:t>While both common intention and common object hold individuals accountable for group criminal activities, common intention requires a pre-planned agreement to commit a crime, whereas common object can apply even if there was no such agreement as long as the offense was committed in furtherance of a shared objective of the group.</w:t>
      </w:r>
    </w:p>
    <w:tbl>
      <w:tblPr>
        <w:tblW w:w="11219"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000"/>
      </w:tblPr>
      <w:tblGrid>
        <w:gridCol w:w="11219"/>
      </w:tblGrid>
      <w:tr w:rsidR="00C72BD3" w:rsidTr="006E45E0">
        <w:trPr>
          <w:trHeight w:val="6560"/>
        </w:trPr>
        <w:tc>
          <w:tcPr>
            <w:tcW w:w="11219" w:type="dxa"/>
            <w:shd w:val="clear" w:color="auto" w:fill="E5DFEC" w:themeFill="accent4" w:themeFillTint="33"/>
          </w:tcPr>
          <w:p w:rsidR="00C72BD3" w:rsidRPr="006E45E0" w:rsidRDefault="00C72BD3" w:rsidP="00C72BD3">
            <w:pPr>
              <w:shd w:val="clear" w:color="auto" w:fill="002060"/>
              <w:jc w:val="both"/>
              <w:rPr>
                <w:rFonts w:ascii="Sylfaen" w:hAnsi="Sylfaen"/>
                <w:b/>
              </w:rPr>
            </w:pPr>
            <w:r w:rsidRPr="006E45E0">
              <w:rPr>
                <w:rFonts w:ascii="Sylfaen" w:hAnsi="Sylfaen"/>
                <w:b/>
              </w:rPr>
              <w:t>Other related case laws:</w:t>
            </w:r>
          </w:p>
          <w:p w:rsidR="00C72BD3" w:rsidRPr="006E45E0" w:rsidRDefault="00C72BD3" w:rsidP="00C72BD3">
            <w:pPr>
              <w:jc w:val="both"/>
              <w:rPr>
                <w:rFonts w:ascii="Sylfaen" w:hAnsi="Sylfaen"/>
              </w:rPr>
            </w:pPr>
            <w:r w:rsidRPr="006E45E0">
              <w:rPr>
                <w:rFonts w:ascii="Sylfaen" w:hAnsi="Sylfaen"/>
                <w:b/>
              </w:rPr>
              <w:t>Jogendra Nahak v. State of Orissa (AIR 1999 SC 2565):</w:t>
            </w:r>
            <w:r w:rsidRPr="006E45E0">
              <w:rPr>
                <w:rFonts w:ascii="Sylfaen" w:hAnsi="Sylfaen"/>
              </w:rPr>
              <w:t xml:space="preserve"> This case reiterates the principle that for the invocation of Section 34 of the Indian Penal Code (IPC), common intention must be established. Section 34 deals with acts done by several persons in furtherance of common intention.</w:t>
            </w:r>
          </w:p>
          <w:p w:rsidR="00C72BD3" w:rsidRPr="006E45E0" w:rsidRDefault="00C72BD3" w:rsidP="00C72BD3">
            <w:pPr>
              <w:jc w:val="both"/>
              <w:rPr>
                <w:rFonts w:ascii="Sylfaen" w:hAnsi="Sylfaen"/>
              </w:rPr>
            </w:pPr>
            <w:r w:rsidRPr="006E45E0">
              <w:rPr>
                <w:rFonts w:ascii="Sylfaen" w:hAnsi="Sylfaen"/>
                <w:b/>
              </w:rPr>
              <w:t>State of Kerala v. Ayyappan and Others (2000 Cri LJ 2560):</w:t>
            </w:r>
            <w:r w:rsidRPr="006E45E0">
              <w:rPr>
                <w:rFonts w:ascii="Sylfaen" w:hAnsi="Sylfaen"/>
              </w:rPr>
              <w:t xml:space="preserve"> In this case, it was held that the existence of a common object is an essential requirement for invoking Section 149 of the IPC. Section 149 deals with unlawful assembly.</w:t>
            </w:r>
          </w:p>
          <w:p w:rsidR="00C72BD3" w:rsidRPr="006E45E0" w:rsidRDefault="00C72BD3" w:rsidP="00C72BD3">
            <w:pPr>
              <w:jc w:val="both"/>
              <w:rPr>
                <w:rFonts w:ascii="Sylfaen" w:hAnsi="Sylfaen"/>
              </w:rPr>
            </w:pPr>
            <w:r w:rsidRPr="006E45E0">
              <w:rPr>
                <w:rFonts w:ascii="Sylfaen" w:hAnsi="Sylfaen"/>
                <w:b/>
              </w:rPr>
              <w:t>Muthappa Rai v. State of Karnataka (2002 Cri LJ 1844</w:t>
            </w:r>
            <w:r w:rsidRPr="006E45E0">
              <w:rPr>
                <w:rFonts w:ascii="Sylfaen" w:hAnsi="Sylfaen"/>
              </w:rPr>
              <w:t>): Here, the Supreme Court held that mere presence in an unlawful assembly does not necessarily make a person liable for the acts committed by other members of the assembly unless there is common intention or common object.</w:t>
            </w:r>
          </w:p>
          <w:p w:rsidR="00C72BD3" w:rsidRPr="006E45E0" w:rsidRDefault="00C72BD3" w:rsidP="00C72BD3">
            <w:pPr>
              <w:jc w:val="both"/>
              <w:rPr>
                <w:rFonts w:ascii="Sylfaen" w:hAnsi="Sylfaen"/>
              </w:rPr>
            </w:pPr>
            <w:r w:rsidRPr="006E45E0">
              <w:rPr>
                <w:rFonts w:ascii="Sylfaen" w:hAnsi="Sylfaen"/>
                <w:b/>
              </w:rPr>
              <w:t>Budhan Choudhry v. State of Bihar (1955 SCR 1045</w:t>
            </w:r>
            <w:r w:rsidRPr="006E45E0">
              <w:rPr>
                <w:rFonts w:ascii="Sylfaen" w:hAnsi="Sylfaen"/>
              </w:rPr>
              <w:t>): This case is foundational in establishing the difference between common intention and common object. It was held that common intention presupposes prior concert or pre-arranged plan, whereas common object does not necessarily require prior concert.</w:t>
            </w:r>
          </w:p>
          <w:p w:rsidR="00C72BD3" w:rsidRPr="006E45E0" w:rsidRDefault="00C72BD3" w:rsidP="00C72BD3">
            <w:pPr>
              <w:jc w:val="both"/>
            </w:pPr>
            <w:r w:rsidRPr="006E45E0">
              <w:rPr>
                <w:rFonts w:ascii="Sylfaen" w:hAnsi="Sylfaen"/>
                <w:b/>
              </w:rPr>
              <w:t>Mohd. Akhtar Hussain and Ors. v. State of Karnataka (2007)</w:t>
            </w:r>
            <w:r w:rsidRPr="006E45E0">
              <w:rPr>
                <w:rFonts w:ascii="Sylfaen" w:hAnsi="Sylfaen"/>
              </w:rPr>
              <w:t xml:space="preserve"> 12 SCC 191: In this case, the Supreme Court clarified that the common object of an unlawful assembly can be inferred from the nature of the assembly, the arms carried by the members, and the behavior of the members</w:t>
            </w:r>
            <w:r w:rsidRPr="006E45E0">
              <w:t>.</w:t>
            </w:r>
          </w:p>
          <w:p w:rsidR="00C72BD3" w:rsidRPr="006E45E0" w:rsidRDefault="00C72BD3" w:rsidP="00C72BD3">
            <w:pPr>
              <w:ind w:left="967"/>
              <w:jc w:val="both"/>
              <w:rPr>
                <w:rFonts w:ascii="Sylfaen" w:hAnsi="Sylfaen"/>
                <w:b/>
              </w:rPr>
            </w:pPr>
          </w:p>
        </w:tc>
      </w:tr>
    </w:tbl>
    <w:p w:rsidR="00C72BD3" w:rsidRPr="00636BA1" w:rsidRDefault="00C72BD3" w:rsidP="00C72BD3">
      <w:pPr>
        <w:jc w:val="both"/>
        <w:rPr>
          <w:rFonts w:ascii="Sylfaen" w:hAnsi="Sylfaen"/>
          <w:b/>
          <w:sz w:val="36"/>
          <w:szCs w:val="36"/>
        </w:rPr>
      </w:pPr>
      <w:r w:rsidRPr="00636BA1">
        <w:rPr>
          <w:rFonts w:ascii="Sylfaen" w:hAnsi="Sylfaen"/>
          <w:b/>
          <w:sz w:val="36"/>
          <w:szCs w:val="36"/>
        </w:rPr>
        <w:t>:</w:t>
      </w:r>
    </w:p>
    <w:p w:rsidR="00677A3A" w:rsidRDefault="00677A3A" w:rsidP="003B40A8">
      <w:pPr>
        <w:rPr>
          <w:rFonts w:ascii="Sylfaen" w:hAnsi="Sylfaen"/>
          <w:sz w:val="24"/>
          <w:szCs w:val="24"/>
        </w:rPr>
      </w:pPr>
    </w:p>
    <w:p w:rsidR="00677A3A" w:rsidRPr="00677A3A" w:rsidRDefault="00677A3A" w:rsidP="00677A3A">
      <w:pPr>
        <w:shd w:val="clear" w:color="auto" w:fill="FDE9D9" w:themeFill="accent6" w:themeFillTint="33"/>
        <w:rPr>
          <w:rFonts w:ascii="Sylfaen" w:hAnsi="Sylfaen"/>
          <w:sz w:val="32"/>
          <w:szCs w:val="32"/>
        </w:rPr>
      </w:pPr>
      <w:r w:rsidRPr="00677A3A">
        <w:rPr>
          <w:rFonts w:ascii="Sylfaen" w:hAnsi="Sylfaen"/>
          <w:sz w:val="32"/>
          <w:szCs w:val="32"/>
        </w:rPr>
        <w:lastRenderedPageBreak/>
        <w:t>Note : the model answer is not the exact answer u r supposed to write in real exam. U hv to concise /incorporate the points as per demand of the question &amp; word limit.</w:t>
      </w:r>
    </w:p>
    <w:sectPr w:rsidR="00677A3A" w:rsidRPr="00677A3A" w:rsidSect="00124FBA">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CE3" w:rsidRDefault="00D30CE3" w:rsidP="00677A3A">
      <w:pPr>
        <w:spacing w:after="0" w:line="240" w:lineRule="auto"/>
      </w:pPr>
      <w:r>
        <w:separator/>
      </w:r>
    </w:p>
  </w:endnote>
  <w:endnote w:type="continuationSeparator" w:id="1">
    <w:p w:rsidR="00D30CE3" w:rsidRDefault="00D30CE3" w:rsidP="00677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16" w:rsidRDefault="007B3097">
    <w:pPr>
      <w:pStyle w:val="Footer"/>
    </w:pPr>
    <w:r>
      <w:rPr>
        <w:noProof/>
        <w:lang w:eastAsia="zh-TW"/>
      </w:rPr>
      <w:pict>
        <v:group id="_x0000_s1032" style="position:absolute;margin-left:0;margin-top:0;width:580.05pt;height:27.35pt;z-index:251664384;mso-position-horizontal:center;mso-position-horizontal-relative:page;mso-position-vertical:top;mso-position-vertical-relative:line" coordorigin="321,14850" coordsize="11601,547">
          <v:rect id="_x0000_s1033"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1033">
              <w:txbxContent>
                <w:sdt>
                  <w:sdtPr>
                    <w:rPr>
                      <w:b/>
                      <w:color w:val="FFFFFF" w:themeColor="background1"/>
                      <w:spacing w:val="60"/>
                      <w:sz w:val="28"/>
                      <w:szCs w:val="28"/>
                      <w:shd w:val="clear" w:color="auto" w:fill="244061" w:themeFill="accent1" w:themeFillShade="80"/>
                    </w:rPr>
                    <w:alias w:val="Address"/>
                    <w:id w:val="79885540"/>
                    <w:placeholder>
                      <w:docPart w:val="FB81CBA3B2084E0DB99BE0F7CA8A4B7A"/>
                    </w:placeholder>
                    <w:dataBinding w:prefixMappings="xmlns:ns0='http://schemas.microsoft.com/office/2006/coverPageProps'" w:xpath="/ns0:CoverPageProperties[1]/ns0:CompanyAddress[1]" w:storeItemID="{55AF091B-3C7A-41E3-B477-F2FDAA23CFDA}"/>
                    <w:text w:multiLine="1"/>
                  </w:sdtPr>
                  <w:sdtContent>
                    <w:p w:rsidR="00664416" w:rsidRDefault="00302AFF" w:rsidP="00302AFF">
                      <w:pPr>
                        <w:pStyle w:val="Footer"/>
                        <w:jc w:val="center"/>
                        <w:rPr>
                          <w:color w:val="FFFFFF" w:themeColor="background1"/>
                          <w:spacing w:val="60"/>
                        </w:rPr>
                      </w:pPr>
                      <w:r>
                        <w:rPr>
                          <w:b/>
                          <w:color w:val="FFFFFF" w:themeColor="background1"/>
                          <w:spacing w:val="60"/>
                          <w:sz w:val="28"/>
                          <w:szCs w:val="28"/>
                          <w:shd w:val="clear" w:color="auto" w:fill="244061" w:themeFill="accent1" w:themeFillShade="80"/>
                        </w:rPr>
                        <w:t>B 36,SECTOR C,ALIGANJ -9415011892</w:t>
                      </w:r>
                    </w:p>
                  </w:sdtContent>
                </w:sdt>
                <w:p w:rsidR="00664416" w:rsidRDefault="00D30CE3">
                  <w:pPr>
                    <w:pStyle w:val="Header"/>
                    <w:rPr>
                      <w:color w:val="FFFFFF" w:themeColor="background1"/>
                    </w:rPr>
                  </w:pPr>
                </w:p>
              </w:txbxContent>
            </v:textbox>
          </v:rect>
          <v:rect id="_x0000_s1034" style="position:absolute;left:9763;top:14903;width:2102;height:432;mso-position-horizontal-relative:page;mso-position-vertical:center;mso-position-vertical-relative:bottom-margin-area" o:allowincell="f" fillcolor="#943634 [2405]" stroked="f">
            <v:fill color2="#943634 [2405]"/>
            <v:textbox style="mso-next-textbox:#_x0000_s1034">
              <w:txbxContent>
                <w:p w:rsidR="00664416" w:rsidRDefault="00181302">
                  <w:pPr>
                    <w:pStyle w:val="Footer"/>
                    <w:rPr>
                      <w:color w:val="FFFFFF" w:themeColor="background1"/>
                    </w:rPr>
                  </w:pPr>
                  <w:r>
                    <w:rPr>
                      <w:color w:val="FFFFFF" w:themeColor="background1"/>
                    </w:rPr>
                    <w:t xml:space="preserve">Page </w:t>
                  </w:r>
                  <w:r w:rsidR="007B3097">
                    <w:fldChar w:fldCharType="begin"/>
                  </w:r>
                  <w:r>
                    <w:instrText xml:space="preserve"> PAGE   \* MERGEFORMAT </w:instrText>
                  </w:r>
                  <w:r w:rsidR="007B3097">
                    <w:fldChar w:fldCharType="separate"/>
                  </w:r>
                  <w:r w:rsidR="00442EA6" w:rsidRPr="00442EA6">
                    <w:rPr>
                      <w:noProof/>
                      <w:color w:val="FFFFFF" w:themeColor="background1"/>
                    </w:rPr>
                    <w:t>1</w:t>
                  </w:r>
                  <w:r w:rsidR="007B3097">
                    <w:fldChar w:fldCharType="end"/>
                  </w:r>
                </w:p>
              </w:txbxContent>
            </v:textbox>
          </v:rect>
          <v:rect id="_x0000_s1035"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CE3" w:rsidRDefault="00D30CE3" w:rsidP="00677A3A">
      <w:pPr>
        <w:spacing w:after="0" w:line="240" w:lineRule="auto"/>
      </w:pPr>
      <w:r>
        <w:separator/>
      </w:r>
    </w:p>
  </w:footnote>
  <w:footnote w:type="continuationSeparator" w:id="1">
    <w:p w:rsidR="00D30CE3" w:rsidRDefault="00D30CE3" w:rsidP="00677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4E5" w:rsidRDefault="007B30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2344" o:spid="_x0000_s1026" type="#_x0000_t136" style="position:absolute;margin-left:0;margin-top:0;width:589.1pt;height:70.65pt;rotation:315;z-index:-251655168;mso-position-horizontal:center;mso-position-horizontal-relative:margin;mso-position-vertical:center;mso-position-vertical-relative:margin" o:allowincell="f" fillcolor="#002060" stroked="f">
          <v:fill opacity=".5"/>
          <v:textpath style="font-family:&quot;Calibri&quot;;font-size:1pt" string="VAID ICS LAW-MODEL ANSWE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4E5" w:rsidRDefault="007B3097">
    <w:pPr>
      <w:pStyle w:val="Header"/>
    </w:pPr>
    <w:r>
      <w:rPr>
        <w:noProof/>
        <w:lang w:eastAsia="zh-TW"/>
      </w:rPr>
      <w:pict>
        <v:group id="_x0000_s1028" style="position:absolute;margin-left:0;margin-top:0;width:580.4pt;height:41.75pt;z-index:251663360;mso-width-percent:950;mso-position-horizontal:center;mso-position-horizontal-relative:page;mso-position-vertical:center;mso-position-vertical-relative:top-margin-area;mso-width-percent:950" coordorigin="330,308" coordsize="11586,835" o:allowincell="f">
          <v:rect id="_x0000_s1029" style="position:absolute;left:377;top:360;width:9346;height:720;mso-position-horizontal-relative:page;mso-position-vertical:center;mso-position-vertical-relative:top-margin-area;v-text-anchor:middle" fillcolor="#e36c0a [2409]" stroked="f" strokecolor="white [3212]" strokeweight="1.5pt">
            <v:textbox style="mso-next-textbox:#_x0000_s1029">
              <w:txbxContent>
                <w:sdt>
                  <w:sdtPr>
                    <w:rPr>
                      <w:b/>
                      <w:color w:val="FFFFFF" w:themeColor="background1"/>
                      <w:sz w:val="28"/>
                      <w:szCs w:val="28"/>
                      <w:shd w:val="clear" w:color="auto" w:fill="5F497A" w:themeFill="accent4" w:themeFillShade="BF"/>
                    </w:rPr>
                    <w:alias w:val="Title"/>
                    <w:id w:val="538682326"/>
                    <w:placeholder>
                      <w:docPart w:val="B34D4C2D8ED242A69D19A5787E4177ED"/>
                    </w:placeholder>
                    <w:dataBinding w:prefixMappings="xmlns:ns0='http://schemas.openxmlformats.org/package/2006/metadata/core-properties' xmlns:ns1='http://purl.org/dc/elements/1.1/'" w:xpath="/ns0:coreProperties[1]/ns1:title[1]" w:storeItemID="{6C3C8BC8-F283-45AE-878A-BAB7291924A1}"/>
                    <w:text/>
                  </w:sdtPr>
                  <w:sdtContent>
                    <w:p w:rsidR="008834E5" w:rsidRPr="00302AFF" w:rsidRDefault="00677A3A">
                      <w:pPr>
                        <w:pStyle w:val="Header"/>
                        <w:rPr>
                          <w:color w:val="FFFFFF" w:themeColor="background1"/>
                          <w:sz w:val="28"/>
                          <w:szCs w:val="28"/>
                        </w:rPr>
                      </w:pPr>
                      <w:r w:rsidRPr="00302AFF">
                        <w:rPr>
                          <w:b/>
                          <w:color w:val="FFFFFF" w:themeColor="background1"/>
                          <w:sz w:val="28"/>
                          <w:szCs w:val="28"/>
                          <w:shd w:val="clear" w:color="auto" w:fill="5F497A" w:themeFill="accent4" w:themeFillShade="BF"/>
                        </w:rPr>
                        <w:t>VAID ICS LAW – MODEL ANSWER –DAILY ANSWER WRITING PROGR</w:t>
                      </w:r>
                      <w:r w:rsidR="00302AFF" w:rsidRPr="00302AFF">
                        <w:rPr>
                          <w:b/>
                          <w:color w:val="FFFFFF" w:themeColor="background1"/>
                          <w:sz w:val="28"/>
                          <w:szCs w:val="28"/>
                          <w:shd w:val="clear" w:color="auto" w:fill="5F497A" w:themeFill="accent4" w:themeFillShade="BF"/>
                        </w:rPr>
                        <w:t>AMME</w:t>
                      </w:r>
                    </w:p>
                  </w:sdtContent>
                </w:sdt>
              </w:txbxContent>
            </v:textbox>
          </v:rect>
          <v:rect id="_x0000_s1030"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1030">
              <w:txbxContent>
                <w:sdt>
                  <w:sdtPr>
                    <w:rPr>
                      <w:color w:val="FFFFFF" w:themeColor="background1"/>
                      <w:sz w:val="36"/>
                      <w:szCs w:val="36"/>
                    </w:rPr>
                    <w:alias w:val="Year"/>
                    <w:id w:val="78709920"/>
                    <w:placeholder>
                      <w:docPart w:val="272B507962BC4A489649B31BA98FF838"/>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Content>
                    <w:p w:rsidR="008834E5" w:rsidRDefault="00302AFF">
                      <w:pPr>
                        <w:pStyle w:val="Header"/>
                        <w:rPr>
                          <w:color w:val="FFFFFF" w:themeColor="background1"/>
                          <w:sz w:val="36"/>
                          <w:szCs w:val="36"/>
                        </w:rPr>
                      </w:pPr>
                      <w:r>
                        <w:rPr>
                          <w:color w:val="FFFFFF" w:themeColor="background1"/>
                          <w:sz w:val="36"/>
                          <w:szCs w:val="36"/>
                        </w:rPr>
                        <w:t>2024</w:t>
                      </w:r>
                    </w:p>
                  </w:sdtContent>
                </w:sdt>
              </w:txbxContent>
            </v:textbox>
          </v:rect>
          <v:rect id="_x0000_s1031"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2345" o:spid="_x0000_s1027" type="#_x0000_t136" style="position:absolute;margin-left:0;margin-top:0;width:589.1pt;height:70.65pt;rotation:315;z-index:-251654144;mso-position-horizontal:center;mso-position-horizontal-relative:margin;mso-position-vertical:center;mso-position-vertical-relative:margin" o:allowincell="f" fillcolor="#002060" stroked="f">
          <v:fill opacity=".5"/>
          <v:textpath style="font-family:&quot;Calibri&quot;;font-size:1pt" string="VAID ICS LAW-MODEL ANSWER"/>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4E5" w:rsidRDefault="007B30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2343" o:spid="_x0000_s1025" type="#_x0000_t136" style="position:absolute;margin-left:0;margin-top:0;width:589.1pt;height:70.65pt;rotation:315;z-index:-251658240;mso-position-horizontal:center;mso-position-horizontal-relative:margin;mso-position-vertical:center;mso-position-vertical-relative:margin" o:allowincell="f" fillcolor="#002060" stroked="f">
          <v:fill opacity=".5"/>
          <v:textpath style="font-family:&quot;Calibri&quot;;font-size:1pt" string="VAID ICS LAW-MODEL ANSWE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C6E"/>
    <w:multiLevelType w:val="multilevel"/>
    <w:tmpl w:val="0D9C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3624E"/>
    <w:multiLevelType w:val="hybridMultilevel"/>
    <w:tmpl w:val="4948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069C6"/>
    <w:multiLevelType w:val="hybridMultilevel"/>
    <w:tmpl w:val="2DB2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227CA"/>
    <w:multiLevelType w:val="hybridMultilevel"/>
    <w:tmpl w:val="37C0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138D0"/>
    <w:multiLevelType w:val="hybridMultilevel"/>
    <w:tmpl w:val="03CC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012B5"/>
    <w:multiLevelType w:val="hybridMultilevel"/>
    <w:tmpl w:val="BA5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96FED"/>
    <w:multiLevelType w:val="hybridMultilevel"/>
    <w:tmpl w:val="563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71EBF"/>
    <w:multiLevelType w:val="hybridMultilevel"/>
    <w:tmpl w:val="A138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737DEF"/>
    <w:multiLevelType w:val="hybridMultilevel"/>
    <w:tmpl w:val="E658539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nsid w:val="144B2FB2"/>
    <w:multiLevelType w:val="hybridMultilevel"/>
    <w:tmpl w:val="D870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3B55B1"/>
    <w:multiLevelType w:val="hybridMultilevel"/>
    <w:tmpl w:val="CE1C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7664B"/>
    <w:multiLevelType w:val="hybridMultilevel"/>
    <w:tmpl w:val="F28C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51070B"/>
    <w:multiLevelType w:val="hybridMultilevel"/>
    <w:tmpl w:val="E970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34CF9"/>
    <w:multiLevelType w:val="hybridMultilevel"/>
    <w:tmpl w:val="4AF2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DD4916"/>
    <w:multiLevelType w:val="hybridMultilevel"/>
    <w:tmpl w:val="2A0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24D5B"/>
    <w:multiLevelType w:val="hybridMultilevel"/>
    <w:tmpl w:val="A214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7048C3"/>
    <w:multiLevelType w:val="hybridMultilevel"/>
    <w:tmpl w:val="536E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A31D35"/>
    <w:multiLevelType w:val="hybridMultilevel"/>
    <w:tmpl w:val="5F4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C93260"/>
    <w:multiLevelType w:val="hybridMultilevel"/>
    <w:tmpl w:val="6FE2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AB23DE"/>
    <w:multiLevelType w:val="hybridMultilevel"/>
    <w:tmpl w:val="5242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F41423"/>
    <w:multiLevelType w:val="hybridMultilevel"/>
    <w:tmpl w:val="8F42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1453C5"/>
    <w:multiLevelType w:val="hybridMultilevel"/>
    <w:tmpl w:val="66FA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A4076"/>
    <w:multiLevelType w:val="hybridMultilevel"/>
    <w:tmpl w:val="79EC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F27D41"/>
    <w:multiLevelType w:val="hybridMultilevel"/>
    <w:tmpl w:val="F302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7F0EF7"/>
    <w:multiLevelType w:val="hybridMultilevel"/>
    <w:tmpl w:val="A0F8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12656A"/>
    <w:multiLevelType w:val="hybridMultilevel"/>
    <w:tmpl w:val="BD88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8A6953"/>
    <w:multiLevelType w:val="multilevel"/>
    <w:tmpl w:val="E13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79B46C1"/>
    <w:multiLevelType w:val="hybridMultilevel"/>
    <w:tmpl w:val="1B52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266BEE"/>
    <w:multiLevelType w:val="hybridMultilevel"/>
    <w:tmpl w:val="CC3C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2E58B7"/>
    <w:multiLevelType w:val="hybridMultilevel"/>
    <w:tmpl w:val="4D90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D51416"/>
    <w:multiLevelType w:val="hybridMultilevel"/>
    <w:tmpl w:val="9664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3E547A"/>
    <w:multiLevelType w:val="hybridMultilevel"/>
    <w:tmpl w:val="47C4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E36F94"/>
    <w:multiLevelType w:val="hybridMultilevel"/>
    <w:tmpl w:val="873C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5B2038"/>
    <w:multiLevelType w:val="hybridMultilevel"/>
    <w:tmpl w:val="7FBE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5B1F19"/>
    <w:multiLevelType w:val="hybridMultilevel"/>
    <w:tmpl w:val="FAF8942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5">
    <w:nsid w:val="633667D1"/>
    <w:multiLevelType w:val="hybridMultilevel"/>
    <w:tmpl w:val="2808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F868FC"/>
    <w:multiLevelType w:val="hybridMultilevel"/>
    <w:tmpl w:val="5790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BE4FE5"/>
    <w:multiLevelType w:val="hybridMultilevel"/>
    <w:tmpl w:val="8E6E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563F8D"/>
    <w:multiLevelType w:val="hybridMultilevel"/>
    <w:tmpl w:val="A0C4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6E52CD"/>
    <w:multiLevelType w:val="hybridMultilevel"/>
    <w:tmpl w:val="9180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AA61CC"/>
    <w:multiLevelType w:val="hybridMultilevel"/>
    <w:tmpl w:val="48F2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171E26"/>
    <w:multiLevelType w:val="hybridMultilevel"/>
    <w:tmpl w:val="D0F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876014"/>
    <w:multiLevelType w:val="hybridMultilevel"/>
    <w:tmpl w:val="31A0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5E0E1D"/>
    <w:multiLevelType w:val="hybridMultilevel"/>
    <w:tmpl w:val="5460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C40BCA"/>
    <w:multiLevelType w:val="hybridMultilevel"/>
    <w:tmpl w:val="C77C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CF280B"/>
    <w:multiLevelType w:val="hybridMultilevel"/>
    <w:tmpl w:val="C318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EF31CC"/>
    <w:multiLevelType w:val="hybridMultilevel"/>
    <w:tmpl w:val="3096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BE51BD"/>
    <w:multiLevelType w:val="hybridMultilevel"/>
    <w:tmpl w:val="72F6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A4218C"/>
    <w:multiLevelType w:val="hybridMultilevel"/>
    <w:tmpl w:val="622E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36"/>
  </w:num>
  <w:num w:numId="4">
    <w:abstractNumId w:val="21"/>
  </w:num>
  <w:num w:numId="5">
    <w:abstractNumId w:val="7"/>
  </w:num>
  <w:num w:numId="6">
    <w:abstractNumId w:val="35"/>
  </w:num>
  <w:num w:numId="7">
    <w:abstractNumId w:val="18"/>
  </w:num>
  <w:num w:numId="8">
    <w:abstractNumId w:val="24"/>
  </w:num>
  <w:num w:numId="9">
    <w:abstractNumId w:val="27"/>
  </w:num>
  <w:num w:numId="10">
    <w:abstractNumId w:val="44"/>
  </w:num>
  <w:num w:numId="11">
    <w:abstractNumId w:val="43"/>
  </w:num>
  <w:num w:numId="12">
    <w:abstractNumId w:val="47"/>
  </w:num>
  <w:num w:numId="13">
    <w:abstractNumId w:val="37"/>
  </w:num>
  <w:num w:numId="14">
    <w:abstractNumId w:val="32"/>
  </w:num>
  <w:num w:numId="15">
    <w:abstractNumId w:val="45"/>
  </w:num>
  <w:num w:numId="16">
    <w:abstractNumId w:val="0"/>
  </w:num>
  <w:num w:numId="17">
    <w:abstractNumId w:val="26"/>
  </w:num>
  <w:num w:numId="18">
    <w:abstractNumId w:val="40"/>
  </w:num>
  <w:num w:numId="19">
    <w:abstractNumId w:val="48"/>
  </w:num>
  <w:num w:numId="20">
    <w:abstractNumId w:val="12"/>
  </w:num>
  <w:num w:numId="21">
    <w:abstractNumId w:val="11"/>
  </w:num>
  <w:num w:numId="22">
    <w:abstractNumId w:val="38"/>
  </w:num>
  <w:num w:numId="23">
    <w:abstractNumId w:val="28"/>
  </w:num>
  <w:num w:numId="24">
    <w:abstractNumId w:val="15"/>
  </w:num>
  <w:num w:numId="25">
    <w:abstractNumId w:val="1"/>
  </w:num>
  <w:num w:numId="26">
    <w:abstractNumId w:val="13"/>
  </w:num>
  <w:num w:numId="27">
    <w:abstractNumId w:val="17"/>
  </w:num>
  <w:num w:numId="28">
    <w:abstractNumId w:val="39"/>
  </w:num>
  <w:num w:numId="29">
    <w:abstractNumId w:val="2"/>
  </w:num>
  <w:num w:numId="30">
    <w:abstractNumId w:val="16"/>
  </w:num>
  <w:num w:numId="31">
    <w:abstractNumId w:val="25"/>
  </w:num>
  <w:num w:numId="32">
    <w:abstractNumId w:val="41"/>
  </w:num>
  <w:num w:numId="33">
    <w:abstractNumId w:val="19"/>
  </w:num>
  <w:num w:numId="34">
    <w:abstractNumId w:val="46"/>
  </w:num>
  <w:num w:numId="35">
    <w:abstractNumId w:val="20"/>
  </w:num>
  <w:num w:numId="36">
    <w:abstractNumId w:val="22"/>
  </w:num>
  <w:num w:numId="37">
    <w:abstractNumId w:val="3"/>
  </w:num>
  <w:num w:numId="38">
    <w:abstractNumId w:val="42"/>
  </w:num>
  <w:num w:numId="39">
    <w:abstractNumId w:val="6"/>
  </w:num>
  <w:num w:numId="40">
    <w:abstractNumId w:val="33"/>
  </w:num>
  <w:num w:numId="41">
    <w:abstractNumId w:val="10"/>
  </w:num>
  <w:num w:numId="42">
    <w:abstractNumId w:val="9"/>
  </w:num>
  <w:num w:numId="43">
    <w:abstractNumId w:val="5"/>
  </w:num>
  <w:num w:numId="44">
    <w:abstractNumId w:val="8"/>
  </w:num>
  <w:num w:numId="45">
    <w:abstractNumId w:val="34"/>
  </w:num>
  <w:num w:numId="46">
    <w:abstractNumId w:val="23"/>
  </w:num>
  <w:num w:numId="47">
    <w:abstractNumId w:val="30"/>
  </w:num>
  <w:num w:numId="48">
    <w:abstractNumId w:val="14"/>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3B40A8"/>
    <w:rsid w:val="00181302"/>
    <w:rsid w:val="00221537"/>
    <w:rsid w:val="00302AFF"/>
    <w:rsid w:val="003B40A8"/>
    <w:rsid w:val="00442EA6"/>
    <w:rsid w:val="00484F3D"/>
    <w:rsid w:val="0067613E"/>
    <w:rsid w:val="00677A3A"/>
    <w:rsid w:val="006E45E0"/>
    <w:rsid w:val="007B3097"/>
    <w:rsid w:val="00C72BD3"/>
    <w:rsid w:val="00D30CE3"/>
    <w:rsid w:val="00E02966"/>
    <w:rsid w:val="00F64E32"/>
    <w:rsid w:val="00FC1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0A8"/>
  </w:style>
  <w:style w:type="paragraph" w:styleId="Heading1">
    <w:name w:val="heading 1"/>
    <w:basedOn w:val="Normal"/>
    <w:next w:val="Normal"/>
    <w:link w:val="Heading1Char"/>
    <w:uiPriority w:val="9"/>
    <w:qFormat/>
    <w:rsid w:val="003B4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B40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B40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0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40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B40A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B40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4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0A8"/>
  </w:style>
  <w:style w:type="paragraph" w:styleId="Footer">
    <w:name w:val="footer"/>
    <w:basedOn w:val="Normal"/>
    <w:link w:val="FooterChar"/>
    <w:uiPriority w:val="99"/>
    <w:unhideWhenUsed/>
    <w:rsid w:val="003B4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0A8"/>
  </w:style>
  <w:style w:type="paragraph" w:styleId="BalloonText">
    <w:name w:val="Balloon Text"/>
    <w:basedOn w:val="Normal"/>
    <w:link w:val="BalloonTextChar"/>
    <w:uiPriority w:val="99"/>
    <w:semiHidden/>
    <w:unhideWhenUsed/>
    <w:rsid w:val="003B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0A8"/>
    <w:rPr>
      <w:rFonts w:ascii="Tahoma" w:hAnsi="Tahoma" w:cs="Tahoma"/>
      <w:sz w:val="16"/>
      <w:szCs w:val="16"/>
    </w:rPr>
  </w:style>
  <w:style w:type="character" w:styleId="Hyperlink">
    <w:name w:val="Hyperlink"/>
    <w:basedOn w:val="DefaultParagraphFont"/>
    <w:uiPriority w:val="99"/>
    <w:unhideWhenUsed/>
    <w:rsid w:val="003B40A8"/>
    <w:rPr>
      <w:color w:val="0000FF"/>
      <w:u w:val="single"/>
    </w:rPr>
  </w:style>
  <w:style w:type="paragraph" w:styleId="ListParagraph">
    <w:name w:val="List Paragraph"/>
    <w:basedOn w:val="Normal"/>
    <w:uiPriority w:val="34"/>
    <w:qFormat/>
    <w:rsid w:val="003B40A8"/>
    <w:pPr>
      <w:ind w:left="720"/>
      <w:contextualSpacing/>
    </w:pPr>
  </w:style>
  <w:style w:type="character" w:styleId="Strong">
    <w:name w:val="Strong"/>
    <w:basedOn w:val="DefaultParagraphFont"/>
    <w:uiPriority w:val="22"/>
    <w:qFormat/>
    <w:rsid w:val="003B40A8"/>
    <w:rPr>
      <w:b/>
      <w:bCs/>
    </w:rPr>
  </w:style>
  <w:style w:type="character" w:styleId="Emphasis">
    <w:name w:val="Emphasis"/>
    <w:basedOn w:val="DefaultParagraphFont"/>
    <w:uiPriority w:val="20"/>
    <w:qFormat/>
    <w:rsid w:val="003B40A8"/>
    <w:rPr>
      <w:i/>
      <w:iCs/>
    </w:rPr>
  </w:style>
  <w:style w:type="paragraph" w:customStyle="1" w:styleId="nofirstintropara">
    <w:name w:val="no_first_intro_para"/>
    <w:basedOn w:val="Normal"/>
    <w:rsid w:val="003B40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title">
    <w:name w:val="widget_title"/>
    <w:basedOn w:val="DefaultParagraphFont"/>
    <w:rsid w:val="003B40A8"/>
  </w:style>
  <w:style w:type="character" w:customStyle="1" w:styleId="articletitle">
    <w:name w:val="article_title"/>
    <w:basedOn w:val="DefaultParagraphFont"/>
    <w:rsid w:val="003B40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4D4C2D8ED242A69D19A5787E4177ED"/>
        <w:category>
          <w:name w:val="General"/>
          <w:gallery w:val="placeholder"/>
        </w:category>
        <w:types>
          <w:type w:val="bbPlcHdr"/>
        </w:types>
        <w:behaviors>
          <w:behavior w:val="content"/>
        </w:behaviors>
        <w:guid w:val="{1BD17C7E-D0B6-4CCF-8A2D-A998D18C1CD5}"/>
      </w:docPartPr>
      <w:docPartBody>
        <w:p w:rsidR="00000CE5" w:rsidRDefault="007E425F" w:rsidP="007E425F">
          <w:pPr>
            <w:pStyle w:val="B34D4C2D8ED242A69D19A5787E4177ED"/>
          </w:pPr>
          <w:r>
            <w:rPr>
              <w:color w:val="FFFFFF" w:themeColor="background1"/>
              <w:sz w:val="28"/>
              <w:szCs w:val="28"/>
            </w:rPr>
            <w:t>[Type the document title]</w:t>
          </w:r>
        </w:p>
      </w:docPartBody>
    </w:docPart>
    <w:docPart>
      <w:docPartPr>
        <w:name w:val="272B507962BC4A489649B31BA98FF838"/>
        <w:category>
          <w:name w:val="General"/>
          <w:gallery w:val="placeholder"/>
        </w:category>
        <w:types>
          <w:type w:val="bbPlcHdr"/>
        </w:types>
        <w:behaviors>
          <w:behavior w:val="content"/>
        </w:behaviors>
        <w:guid w:val="{0127395C-A063-4CC5-9AC8-278D1E510A4A}"/>
      </w:docPartPr>
      <w:docPartBody>
        <w:p w:rsidR="00000CE5" w:rsidRDefault="007E425F" w:rsidP="007E425F">
          <w:pPr>
            <w:pStyle w:val="272B507962BC4A489649B31BA98FF838"/>
          </w:pPr>
          <w:r>
            <w:rPr>
              <w:color w:val="FFFFFF" w:themeColor="background1"/>
              <w:sz w:val="36"/>
              <w:szCs w:val="36"/>
            </w:rPr>
            <w:t>[Year]</w:t>
          </w:r>
        </w:p>
      </w:docPartBody>
    </w:docPart>
    <w:docPart>
      <w:docPartPr>
        <w:name w:val="FB81CBA3B2084E0DB99BE0F7CA8A4B7A"/>
        <w:category>
          <w:name w:val="General"/>
          <w:gallery w:val="placeholder"/>
        </w:category>
        <w:types>
          <w:type w:val="bbPlcHdr"/>
        </w:types>
        <w:behaviors>
          <w:behavior w:val="content"/>
        </w:behaviors>
        <w:guid w:val="{CD2DD88A-744B-42DD-B582-4E835287BA8D}"/>
      </w:docPartPr>
      <w:docPartBody>
        <w:p w:rsidR="00000CE5" w:rsidRDefault="007E425F" w:rsidP="007E425F">
          <w:pPr>
            <w:pStyle w:val="FB81CBA3B2084E0DB99BE0F7CA8A4B7A"/>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E425F"/>
    <w:rsid w:val="00000CE5"/>
    <w:rsid w:val="007E425F"/>
    <w:rsid w:val="00E858FC"/>
    <w:rsid w:val="00EB3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4D4C2D8ED242A69D19A5787E4177ED">
    <w:name w:val="B34D4C2D8ED242A69D19A5787E4177ED"/>
    <w:rsid w:val="007E425F"/>
  </w:style>
  <w:style w:type="paragraph" w:customStyle="1" w:styleId="272B507962BC4A489649B31BA98FF838">
    <w:name w:val="272B507962BC4A489649B31BA98FF838"/>
    <w:rsid w:val="007E425F"/>
  </w:style>
  <w:style w:type="paragraph" w:customStyle="1" w:styleId="FB81CBA3B2084E0DB99BE0F7CA8A4B7A">
    <w:name w:val="FB81CBA3B2084E0DB99BE0F7CA8A4B7A"/>
    <w:rsid w:val="007E425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2024-01-01T00:00:00</PublishDate>
  <Abstract/>
  <CompanyAddress>B 36,SECTOR C,ALIGANJ -9415011892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VAID ICS LAW – MODEL ANSWER –DAILY ANSWER WRITING PROGRAMME</vt:lpstr>
    </vt:vector>
  </TitlesOfParts>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VAID ICS LAW – MODEL ANSWER –DAILY ANSWER WRITING PROGRAMME</dc:title>
  <dc:creator>Vaids  Satendra Sir</dc:creator>
  <cp:lastModifiedBy>Vaids  Satendra Sir</cp:lastModifiedBy>
  <cp:revision>5</cp:revision>
  <cp:lastPrinted>2024-03-15T09:41:00Z</cp:lastPrinted>
  <dcterms:created xsi:type="dcterms:W3CDTF">2024-03-13T08:25:00Z</dcterms:created>
  <dcterms:modified xsi:type="dcterms:W3CDTF">2024-03-15T11:06:00Z</dcterms:modified>
</cp:coreProperties>
</file>